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7E3D" w:rsidRDefault="005C7E3D">
      <w:pPr>
        <w:contextualSpacing w:val="0"/>
      </w:pPr>
    </w:p>
    <w:tbl>
      <w:tblPr>
        <w:tblStyle w:val="a"/>
        <w:tblW w:w="11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170"/>
        <w:gridCol w:w="6810"/>
      </w:tblGrid>
      <w:tr w:rsidR="005C7E3D">
        <w:tc>
          <w:tcPr>
            <w:tcW w:w="5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7E3D" w:rsidRDefault="005C7E3D">
            <w:pPr>
              <w:contextualSpacing w:val="0"/>
            </w:pPr>
          </w:p>
          <w:p w:rsidR="005C7E3D" w:rsidRDefault="005C7E3D">
            <w:pPr>
              <w:contextualSpacing w:val="0"/>
            </w:pPr>
          </w:p>
        </w:tc>
        <w:bookmarkStart w:id="0" w:name="_no494fnznejg" w:colFirst="0" w:colLast="0"/>
        <w:bookmarkEnd w:id="0"/>
        <w:tc>
          <w:tcPr>
            <w:tcW w:w="41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7E3D" w:rsidRDefault="00FD1E6C">
            <w:pPr>
              <w:pStyle w:val="Title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61963" cy="461963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725" y="406975"/>
                                <a:ext cx="771600" cy="7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7E3D" w:rsidRDefault="005C7E3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36.4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" fillcolor="#6fa8dc" stroked="f">
                      <v:textbox inset="2.53958mm,2.53958mm,2.53958mm,2.53958mm">
                        <w:txbxContent>
                          <w:p w:rsidR="005C7E3D" w:rsidRDefault="005C7E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C7E3D" w:rsidRDefault="00FD1E6C">
            <w:pPr>
              <w:pStyle w:val="Title"/>
              <w:contextualSpacing w:val="0"/>
            </w:pPr>
            <w:bookmarkStart w:id="1" w:name="_qtvdfa7jid2n" w:colFirst="0" w:colLast="0"/>
            <w:bookmarkEnd w:id="1"/>
            <w:r>
              <w:t>Brian</w:t>
            </w:r>
            <w:r>
              <w:br/>
              <w:t>Thornton</w:t>
            </w:r>
          </w:p>
          <w:p w:rsidR="00B443BF" w:rsidRDefault="00B443BF" w:rsidP="00B443BF">
            <w:r>
              <w:t>Cell: (260) 267-6520</w:t>
            </w:r>
          </w:p>
          <w:p w:rsidR="00B443BF" w:rsidRDefault="00B443BF" w:rsidP="00B443BF">
            <w:r>
              <w:t xml:space="preserve">Email: </w:t>
            </w:r>
            <w:hyperlink r:id="rId5" w:history="1">
              <w:r w:rsidRPr="00CB6DF4">
                <w:rPr>
                  <w:rStyle w:val="Hyperlink"/>
                </w:rPr>
                <w:t>Brian@Brian17.com</w:t>
              </w:r>
            </w:hyperlink>
          </w:p>
          <w:p w:rsidR="005C7E3D" w:rsidRDefault="00FD1E6C">
            <w:pPr>
              <w:ind w:left="-135"/>
              <w:contextualSpacing w:val="0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114300" distB="114300" distL="114300" distR="114300">
                  <wp:extent cx="1019265" cy="947738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17816" t="19696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65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7E3D" w:rsidRDefault="00FD1E6C">
            <w:pPr>
              <w:contextualSpacing w:val="0"/>
              <w:rPr>
                <w:b/>
                <w:color w:val="23527C"/>
                <w:sz w:val="22"/>
                <w:szCs w:val="22"/>
              </w:rPr>
            </w:pPr>
            <w:r>
              <w:rPr>
                <w:b/>
                <w:color w:val="23527C"/>
                <w:sz w:val="22"/>
                <w:szCs w:val="22"/>
              </w:rPr>
              <w:t>SUMMARY</w:t>
            </w:r>
          </w:p>
          <w:p w:rsidR="005C7E3D" w:rsidRDefault="005C7E3D">
            <w:pPr>
              <w:contextualSpacing w:val="0"/>
              <w:rPr>
                <w:b/>
                <w:color w:val="A61C00"/>
              </w:rPr>
            </w:pPr>
          </w:p>
          <w:p w:rsidR="005C7E3D" w:rsidRDefault="00FD1E6C">
            <w:pPr>
              <w:spacing w:line="240" w:lineRule="auto"/>
              <w:contextualSpacing w:val="0"/>
            </w:pPr>
            <w:r>
              <w:t xml:space="preserve">I am a seasoned hands-on certified Salesforce architect, developer and administrator, I have worked solely with advanced </w:t>
            </w:r>
            <w:proofErr w:type="spellStart"/>
            <w:r>
              <w:t>SalesForce</w:t>
            </w:r>
            <w:proofErr w:type="spellEnd"/>
            <w:r>
              <w:t xml:space="preserve"> APEX, </w:t>
            </w:r>
            <w:proofErr w:type="spellStart"/>
            <w:r>
              <w:t>VisualForce</w:t>
            </w:r>
            <w:proofErr w:type="spellEnd"/>
            <w:r>
              <w:t>, force.com, health</w:t>
            </w:r>
            <w:r w:rsidR="00865A16">
              <w:t xml:space="preserve"> </w:t>
            </w:r>
            <w:r>
              <w:t xml:space="preserve">cloud marketing cloud </w:t>
            </w:r>
            <w:proofErr w:type="gramStart"/>
            <w:r>
              <w:t>and  java</w:t>
            </w:r>
            <w:proofErr w:type="gramEnd"/>
            <w:r>
              <w:t xml:space="preserve"> since 2005. I’m the Coauthor and contributor to the official Salesforce Web Application Kit for Nonprofits and I have been fortunate to </w:t>
            </w:r>
            <w:proofErr w:type="gramStart"/>
            <w:r>
              <w:t>have  presented</w:t>
            </w:r>
            <w:proofErr w:type="gramEnd"/>
            <w:r>
              <w:t xml:space="preserve"> at several Salesforce conferences. I am one of the worldwide 122 certified salesforce architects, I am an US citizen and seek full-time and part-time employment or contract.</w:t>
            </w:r>
          </w:p>
          <w:p w:rsidR="005C7E3D" w:rsidRDefault="005C7E3D">
            <w:pPr>
              <w:contextualSpacing w:val="0"/>
            </w:pPr>
          </w:p>
          <w:p w:rsidR="005C7E3D" w:rsidRDefault="005C7E3D">
            <w:pPr>
              <w:contextualSpacing w:val="0"/>
            </w:pPr>
          </w:p>
          <w:p w:rsidR="005C7E3D" w:rsidRDefault="00FD1E6C">
            <w:pPr>
              <w:pStyle w:val="Subtitle"/>
              <w:contextualSpacing w:val="0"/>
            </w:pPr>
            <w:bookmarkStart w:id="3" w:name="_e74zu8rdtgev" w:colFirst="0" w:colLast="0"/>
            <w:bookmarkEnd w:id="3"/>
            <w:r>
              <w:rPr>
                <w:color w:val="23527C"/>
              </w:rPr>
              <w:t>EXPERIENCE</w:t>
            </w:r>
          </w:p>
          <w:p w:rsidR="005C7E3D" w:rsidRDefault="005C7E3D">
            <w:pPr>
              <w:pStyle w:val="Heading1"/>
              <w:contextualSpacing w:val="0"/>
            </w:pPr>
          </w:p>
          <w:p w:rsidR="005C7E3D" w:rsidRDefault="00FD1E6C">
            <w:pPr>
              <w:pStyle w:val="Heading1"/>
              <w:contextualSpacing w:val="0"/>
              <w:rPr>
                <w:b w:val="0"/>
                <w:color w:val="666666"/>
                <w:sz w:val="18"/>
                <w:szCs w:val="18"/>
              </w:rPr>
            </w:pPr>
            <w:r>
              <w:t xml:space="preserve">Salesforce, </w:t>
            </w:r>
            <w:proofErr w:type="spellStart"/>
            <w:r>
              <w:t>Inc</w:t>
            </w:r>
            <w:proofErr w:type="spellEnd"/>
            <w:r>
              <w:br/>
            </w:r>
            <w:r>
              <w:rPr>
                <w:b w:val="0"/>
                <w:color w:val="666666"/>
                <w:sz w:val="18"/>
                <w:szCs w:val="18"/>
              </w:rPr>
              <w:t xml:space="preserve">Salesforce Architect </w:t>
            </w:r>
            <w:r w:rsidR="00865A16">
              <w:rPr>
                <w:b w:val="0"/>
                <w:color w:val="666666"/>
                <w:sz w:val="18"/>
                <w:szCs w:val="18"/>
              </w:rPr>
              <w:t>&amp; Developer</w:t>
            </w:r>
          </w:p>
          <w:p w:rsidR="005C7E3D" w:rsidRDefault="00865A16">
            <w:pPr>
              <w:spacing w:line="240" w:lineRule="auto"/>
              <w:contextualSpacing w:val="0"/>
            </w:pPr>
            <w:r>
              <w:t>Professional Services</w:t>
            </w:r>
          </w:p>
          <w:p w:rsidR="005C7E3D" w:rsidRDefault="00FD1E6C">
            <w:pPr>
              <w:spacing w:line="240" w:lineRule="auto"/>
              <w:contextualSpacing w:val="0"/>
            </w:pPr>
            <w:r>
              <w:t>San Francisco, New York and Remote</w:t>
            </w:r>
          </w:p>
          <w:p w:rsidR="005C7E3D" w:rsidRDefault="00FD1E6C">
            <w:pPr>
              <w:pStyle w:val="Heading1"/>
              <w:contextualSpacing w:val="0"/>
            </w:pPr>
            <w:r>
              <w:rPr>
                <w:b w:val="0"/>
                <w:color w:val="666666"/>
                <w:sz w:val="18"/>
                <w:szCs w:val="18"/>
              </w:rPr>
              <w:t>2010-CURRENT</w:t>
            </w:r>
          </w:p>
          <w:p w:rsidR="005C7E3D" w:rsidRDefault="005C7E3D">
            <w:pPr>
              <w:contextualSpacing w:val="0"/>
            </w:pPr>
          </w:p>
          <w:p w:rsidR="005C7E3D" w:rsidRDefault="00FD1E6C">
            <w:pPr>
              <w:contextualSpacing w:val="0"/>
            </w:pPr>
            <w:r>
              <w:t>Salesforce Architect and hands-on developer and consultant for Fortune 500 clients on behalf of Salesforce, Inc. Lead and oversee heads down development and engineering of remote and overseas development resources for 8 salesforce orgs.</w:t>
            </w:r>
          </w:p>
          <w:p w:rsidR="005C7E3D" w:rsidRDefault="00FD1E6C">
            <w:pPr>
              <w:pStyle w:val="Heading3"/>
              <w:contextualSpacing w:val="0"/>
            </w:pPr>
            <w:bookmarkStart w:id="4" w:name="_a4iw88y06be4" w:colFirst="0" w:colLast="0"/>
            <w:bookmarkEnd w:id="4"/>
            <w:r>
              <w:t>Accomplishments</w:t>
            </w:r>
          </w:p>
          <w:p w:rsidR="005C7E3D" w:rsidRDefault="00865A16">
            <w:pPr>
              <w:numPr>
                <w:ilvl w:val="0"/>
                <w:numId w:val="2"/>
              </w:numPr>
              <w:ind w:hanging="360"/>
            </w:pPr>
            <w:r>
              <w:t xml:space="preserve">Salesforce </w:t>
            </w:r>
            <w:r w:rsidR="00FD1E6C">
              <w:t xml:space="preserve">with recursive AWS IDE Instances for clients utilizing </w:t>
            </w:r>
            <w:proofErr w:type="spellStart"/>
            <w:r w:rsidR="00FD1E6C">
              <w:t>GitHub</w:t>
            </w:r>
            <w:proofErr w:type="spellEnd"/>
            <w:r w:rsidR="00FD1E6C">
              <w:t xml:space="preserve"> and Amazon for stability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 xml:space="preserve">APEX, </w:t>
            </w:r>
            <w:proofErr w:type="spellStart"/>
            <w:r>
              <w:t>VisualForce</w:t>
            </w:r>
            <w:proofErr w:type="spellEnd"/>
            <w:r>
              <w:t xml:space="preserve">, MSSQL/MySQL/Oracle and </w:t>
            </w:r>
            <w:proofErr w:type="spellStart"/>
            <w:r>
              <w:t>DynamoDB</w:t>
            </w:r>
            <w:proofErr w:type="spellEnd"/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 xml:space="preserve">Contracted by </w:t>
            </w:r>
            <w:proofErr w:type="spellStart"/>
            <w:r>
              <w:t>Peachpit</w:t>
            </w:r>
            <w:proofErr w:type="spellEnd"/>
            <w:r>
              <w:t xml:space="preserve"> Pr</w:t>
            </w:r>
            <w:r w:rsidR="00865A16">
              <w:t>ess to contributed to the Salesf</w:t>
            </w:r>
            <w:r>
              <w:t>orce Web Application Kit for Nonprofits</w:t>
            </w:r>
          </w:p>
          <w:p w:rsidR="005C7E3D" w:rsidRDefault="00865A16">
            <w:pPr>
              <w:numPr>
                <w:ilvl w:val="0"/>
                <w:numId w:val="2"/>
              </w:numPr>
              <w:ind w:hanging="360"/>
            </w:pPr>
            <w:r>
              <w:t>Speaker at numerous Salesf</w:t>
            </w:r>
            <w:r w:rsidR="00FD1E6C">
              <w:t>orce conferences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>Assisted in rollo</w:t>
            </w:r>
            <w:r w:rsidR="00865A16">
              <w:t>ut of multimillion dollar Salesf</w:t>
            </w:r>
            <w:r>
              <w:t>orce deployments and client architectures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>Clients/Partner  include Deloitte, HP, HCL, SalesForce.com, Google, Adobe, Health Corporation of America &amp; Simon Property Group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 xml:space="preserve">Separation of  HP, </w:t>
            </w:r>
            <w:proofErr w:type="spellStart"/>
            <w:r>
              <w:t>Inc</w:t>
            </w:r>
            <w:proofErr w:type="spellEnd"/>
            <w:r>
              <w:t xml:space="preserve"> and it’s 380,000 employees as part of the HPI/HPE and across 6 Salesforce orgs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 xml:space="preserve">At </w:t>
            </w:r>
            <w:proofErr w:type="spellStart"/>
            <w:r>
              <w:t>OneAmerica</w:t>
            </w:r>
            <w:proofErr w:type="spellEnd"/>
            <w:r>
              <w:t xml:space="preserve"> of Indianapolis in 2014 I as the </w:t>
            </w:r>
            <w:r w:rsidR="00865A16">
              <w:t xml:space="preserve">Salesforce </w:t>
            </w:r>
            <w:r>
              <w:t xml:space="preserve">architect built out an entire </w:t>
            </w:r>
            <w:r w:rsidR="00865A16">
              <w:t xml:space="preserve">Salesforce </w:t>
            </w:r>
            <w:r>
              <w:t xml:space="preserve">team of 3 developers and QA/BA team of 9 for 1800 </w:t>
            </w:r>
            <w:r w:rsidR="00865A16">
              <w:t xml:space="preserve">Salesforce </w:t>
            </w:r>
            <w:r>
              <w:t>users</w:t>
            </w:r>
          </w:p>
          <w:p w:rsidR="005C7E3D" w:rsidRDefault="00FD1E6C">
            <w:pPr>
              <w:numPr>
                <w:ilvl w:val="0"/>
                <w:numId w:val="2"/>
              </w:numPr>
              <w:ind w:hanging="360"/>
            </w:pPr>
            <w:r>
              <w:t xml:space="preserve">in 2013, At Simon Property Group oversaw of Indianapolis all </w:t>
            </w:r>
            <w:r w:rsidR="00865A16">
              <w:t xml:space="preserve">Salesforce </w:t>
            </w:r>
            <w:r>
              <w:t>projects</w:t>
            </w:r>
          </w:p>
          <w:p w:rsidR="00FD1E6C" w:rsidRDefault="00FD1E6C" w:rsidP="00FD1E6C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</w:rPr>
              <w:t>Mount Sinai -</w:t>
            </w:r>
            <w:r>
              <w:t xml:space="preserve"> 350,000 patients connects using Health Cloud communities </w:t>
            </w:r>
            <w:hyperlink r:id="rId7">
              <w:r>
                <w:rPr>
                  <w:b/>
                  <w:color w:val="1155CC"/>
                  <w:u w:val="single"/>
                </w:rPr>
                <w:t>LINK</w:t>
              </w:r>
            </w:hyperlink>
          </w:p>
          <w:p w:rsidR="00FD1E6C" w:rsidRDefault="00FD1E6C" w:rsidP="00FD1E6C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</w:rPr>
              <w:t xml:space="preserve">Mattel - </w:t>
            </w:r>
            <w:r>
              <w:t xml:space="preserve">Salesforce Marketing Cloud for use of Journey Builder and other tools across 11 toys brands. </w:t>
            </w:r>
            <w:hyperlink r:id="rId8">
              <w:r>
                <w:rPr>
                  <w:b/>
                  <w:color w:val="1155CC"/>
                  <w:u w:val="single"/>
                </w:rPr>
                <w:t>LINK</w:t>
              </w:r>
            </w:hyperlink>
          </w:p>
          <w:p w:rsidR="00FD1E6C" w:rsidRDefault="00FD1E6C" w:rsidP="00FD1E6C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</w:rPr>
              <w:t xml:space="preserve">Northeastern University - </w:t>
            </w:r>
            <w:r>
              <w:t xml:space="preserve">developed Center of Excellence for 11 Salesforce Orgs for all system integration, student records and student/parent/employer engagement.  </w:t>
            </w:r>
            <w:hyperlink r:id="rId9">
              <w:r>
                <w:rPr>
                  <w:b/>
                  <w:color w:val="1155CC"/>
                  <w:u w:val="single"/>
                </w:rPr>
                <w:t>LINK</w:t>
              </w:r>
            </w:hyperlink>
          </w:p>
          <w:p w:rsidR="00FD1E6C" w:rsidRDefault="00FD1E6C" w:rsidP="00FD1E6C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</w:rPr>
              <w:t xml:space="preserve">NCH Corporation - </w:t>
            </w:r>
            <w:r>
              <w:t xml:space="preserve">With top tier implementation partner, deployed 8 week Force.com instance for 11,000 employee with </w:t>
            </w:r>
            <w:proofErr w:type="spellStart"/>
            <w:r>
              <w:t>Boomi</w:t>
            </w:r>
            <w:proofErr w:type="spellEnd"/>
            <w:r>
              <w:t xml:space="preserve"> ETL</w:t>
            </w:r>
          </w:p>
          <w:p w:rsidR="00FD1E6C" w:rsidRDefault="00FD1E6C" w:rsidP="00FD1E6C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</w:rPr>
              <w:t xml:space="preserve">Home Depot - </w:t>
            </w:r>
            <w:r>
              <w:t xml:space="preserve">Connected 80,000 professional contractor to </w:t>
            </w:r>
            <w:proofErr w:type="spellStart"/>
            <w:r>
              <w:t>HomeDeport</w:t>
            </w:r>
            <w:proofErr w:type="spellEnd"/>
            <w:r>
              <w:t xml:space="preserve"> through the </w:t>
            </w:r>
            <w:proofErr w:type="spellStart"/>
            <w:r>
              <w:t>ProReferral</w:t>
            </w:r>
            <w:proofErr w:type="spellEnd"/>
            <w:r>
              <w:t xml:space="preserve"> product converted from java </w:t>
            </w:r>
            <w:proofErr w:type="spellStart"/>
            <w:r>
              <w:t>microservices</w:t>
            </w:r>
            <w:proofErr w:type="spellEnd"/>
            <w:r>
              <w:t xml:space="preserve"> to full Salesforce SDLC with continuous integration.</w:t>
            </w:r>
          </w:p>
          <w:p w:rsidR="00FD1E6C" w:rsidRDefault="00FD1E6C" w:rsidP="00FD1E6C"/>
          <w:p w:rsidR="005C7E3D" w:rsidRDefault="005C7E3D">
            <w:pPr>
              <w:contextualSpacing w:val="0"/>
            </w:pPr>
          </w:p>
          <w:p w:rsidR="005C7E3D" w:rsidRDefault="00FD1E6C">
            <w:pPr>
              <w:pStyle w:val="Heading1"/>
              <w:contextualSpacing w:val="0"/>
            </w:pPr>
            <w:r>
              <w:t>National Association of Heavy Equipment Training Schools</w:t>
            </w:r>
          </w:p>
          <w:p w:rsidR="005C7E3D" w:rsidRDefault="00865A16">
            <w:pPr>
              <w:pStyle w:val="Heading2"/>
              <w:spacing w:before="0" w:after="0" w:line="240" w:lineRule="auto"/>
              <w:contextualSpacing w:val="0"/>
            </w:pPr>
            <w:r>
              <w:t xml:space="preserve">Salesforce </w:t>
            </w:r>
            <w:r w:rsidR="00FD1E6C">
              <w:t>Developer/Technology Manager 2006-2010</w:t>
            </w:r>
          </w:p>
          <w:p w:rsidR="005C7E3D" w:rsidRDefault="00FD1E6C">
            <w:pPr>
              <w:contextualSpacing w:val="0"/>
            </w:pPr>
            <w:r>
              <w:lastRenderedPageBreak/>
              <w:t xml:space="preserve">Oversaw and developed all electronic materials with specific focus on data driven marketing. </w:t>
            </w:r>
          </w:p>
          <w:p w:rsidR="005C7E3D" w:rsidRDefault="00FD1E6C">
            <w:pPr>
              <w:pStyle w:val="Heading3"/>
              <w:contextualSpacing w:val="0"/>
            </w:pPr>
            <w:r>
              <w:t>Accomplishments</w:t>
            </w:r>
          </w:p>
          <w:p w:rsidR="005C7E3D" w:rsidRDefault="00FD1E6C">
            <w:pPr>
              <w:numPr>
                <w:ilvl w:val="0"/>
                <w:numId w:val="3"/>
              </w:numPr>
              <w:ind w:hanging="360"/>
            </w:pPr>
            <w:r>
              <w:t xml:space="preserve">Converted from </w:t>
            </w:r>
            <w:proofErr w:type="spellStart"/>
            <w:r>
              <w:t>Zend</w:t>
            </w:r>
            <w:proofErr w:type="spellEnd"/>
            <w:r>
              <w:t xml:space="preserve"> PHP framework to </w:t>
            </w:r>
            <w:proofErr w:type="spellStart"/>
            <w:r>
              <w:t>SalesForce</w:t>
            </w:r>
            <w:proofErr w:type="spellEnd"/>
            <w:r>
              <w:t xml:space="preserve"> billing/marketing System</w:t>
            </w:r>
          </w:p>
          <w:p w:rsidR="005C7E3D" w:rsidRDefault="00FD1E6C">
            <w:pPr>
              <w:numPr>
                <w:ilvl w:val="0"/>
                <w:numId w:val="3"/>
              </w:numPr>
              <w:ind w:hanging="360"/>
            </w:pPr>
            <w:r>
              <w:t>Moved all servers from in-house server to cloud based AWS with Salesforce orgs</w:t>
            </w:r>
          </w:p>
          <w:p w:rsidR="005C7E3D" w:rsidRDefault="00FD1E6C">
            <w:pPr>
              <w:numPr>
                <w:ilvl w:val="0"/>
                <w:numId w:val="3"/>
              </w:numPr>
              <w:ind w:hanging="360"/>
            </w:pPr>
            <w:r>
              <w:t>Architected and Developed:</w:t>
            </w:r>
          </w:p>
          <w:p w:rsidR="005C7E3D" w:rsidRDefault="00FD1E6C">
            <w:pPr>
              <w:numPr>
                <w:ilvl w:val="1"/>
                <w:numId w:val="3"/>
              </w:numPr>
              <w:ind w:hanging="360"/>
            </w:pPr>
            <w:r>
              <w:t>Full Content Management</w:t>
            </w:r>
          </w:p>
          <w:p w:rsidR="005C7E3D" w:rsidRDefault="00FD1E6C">
            <w:pPr>
              <w:numPr>
                <w:ilvl w:val="1"/>
                <w:numId w:val="3"/>
              </w:numPr>
              <w:ind w:hanging="360"/>
            </w:pPr>
            <w:r>
              <w:t>Student Management System</w:t>
            </w:r>
          </w:p>
          <w:p w:rsidR="005C7E3D" w:rsidRDefault="00FD1E6C">
            <w:pPr>
              <w:numPr>
                <w:ilvl w:val="1"/>
                <w:numId w:val="3"/>
              </w:numPr>
              <w:ind w:hanging="360"/>
            </w:pPr>
            <w:r>
              <w:t>Lead Tracking with physical newspapers</w:t>
            </w:r>
          </w:p>
          <w:p w:rsidR="005C7E3D" w:rsidRDefault="00FD1E6C">
            <w:pPr>
              <w:numPr>
                <w:ilvl w:val="1"/>
                <w:numId w:val="3"/>
              </w:numPr>
              <w:ind w:hanging="360"/>
            </w:pPr>
            <w:r>
              <w:t>DVD distribution and return mail tracking system</w:t>
            </w:r>
          </w:p>
          <w:p w:rsidR="005C7E3D" w:rsidRDefault="005C7E3D">
            <w:pPr>
              <w:pStyle w:val="Subtitle"/>
              <w:contextualSpacing w:val="0"/>
            </w:pPr>
            <w:bookmarkStart w:id="5" w:name="_26fei4md84s9" w:colFirst="0" w:colLast="0"/>
            <w:bookmarkEnd w:id="5"/>
          </w:p>
          <w:p w:rsidR="005C7E3D" w:rsidRDefault="00FD1E6C">
            <w:pPr>
              <w:pStyle w:val="Subtitle"/>
              <w:contextualSpacing w:val="0"/>
              <w:rPr>
                <w:color w:val="23527C"/>
              </w:rPr>
            </w:pPr>
            <w:bookmarkStart w:id="6" w:name="_cmqshvdtayu1" w:colFirst="0" w:colLast="0"/>
            <w:bookmarkEnd w:id="6"/>
            <w:r>
              <w:rPr>
                <w:color w:val="23527C"/>
              </w:rPr>
              <w:t>CERTIFICATIONS:</w:t>
            </w:r>
            <w:r>
              <w:t xml:space="preserve"> (</w:t>
            </w:r>
            <w:r>
              <w:rPr>
                <w:color w:val="23527C"/>
              </w:rPr>
              <w:t>See next page for print out of certifications)</w:t>
            </w:r>
          </w:p>
          <w:p w:rsidR="005C7E3D" w:rsidRDefault="00FD1E6C">
            <w:pPr>
              <w:pStyle w:val="Heading1"/>
              <w:contextualSpacing w:val="0"/>
              <w:rPr>
                <w:sz w:val="16"/>
                <w:szCs w:val="16"/>
              </w:rPr>
            </w:pPr>
            <w:r>
              <w:rPr>
                <w:color w:val="666666"/>
                <w:sz w:val="18"/>
                <w:szCs w:val="18"/>
              </w:rPr>
              <w:t xml:space="preserve">Salesforce 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Administrator - September 1, 2008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Force.com Developer-  March 27, 2009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Advanced Administrator- March 27, 2009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Sales Cloud Consultant - July 11, 2011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Service Cloud Consultant - July 12, 2011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Technical Architect - August 1, 2012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Platform Developer I - September 11, 2015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Platform Developer II - September 11, 2015</w:t>
            </w:r>
          </w:p>
          <w:p w:rsidR="005C7E3D" w:rsidRDefault="00FD1E6C">
            <w:pPr>
              <w:spacing w:line="240" w:lineRule="auto"/>
              <w:contextualSpacing w:val="0"/>
              <w:rPr>
                <w:color w:val="333333"/>
              </w:rPr>
            </w:pPr>
            <w:r>
              <w:rPr>
                <w:color w:val="333333"/>
              </w:rPr>
              <w:t>Salesforce Certified Marketing Cloud Email Specialist - September 13, 2016</w:t>
            </w:r>
          </w:p>
          <w:p w:rsidR="005C7E3D" w:rsidRDefault="00FD1E6C">
            <w:pPr>
              <w:pStyle w:val="Heading2"/>
              <w:spacing w:before="0" w:after="0" w:line="240" w:lineRule="auto"/>
              <w:contextualSpacing w:val="0"/>
              <w:rPr>
                <w:b/>
              </w:rPr>
            </w:pPr>
            <w:r>
              <w:br/>
            </w:r>
            <w:r>
              <w:rPr>
                <w:b/>
              </w:rPr>
              <w:t>Cisco</w:t>
            </w:r>
          </w:p>
          <w:p w:rsidR="005C7E3D" w:rsidRDefault="00FD1E6C">
            <w:pPr>
              <w:spacing w:line="240" w:lineRule="auto"/>
              <w:contextualSpacing w:val="0"/>
            </w:pPr>
            <w:r>
              <w:t>Cisco CCNA Certification - 2002 (expired)</w:t>
            </w:r>
          </w:p>
          <w:p w:rsidR="005C7E3D" w:rsidRDefault="005C7E3D">
            <w:pPr>
              <w:spacing w:line="240" w:lineRule="auto"/>
              <w:contextualSpacing w:val="0"/>
            </w:pPr>
          </w:p>
          <w:p w:rsidR="005C7E3D" w:rsidRDefault="00FD1E6C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Microsoft</w:t>
            </w:r>
          </w:p>
          <w:p w:rsidR="005C7E3D" w:rsidRDefault="00FD1E6C">
            <w:pPr>
              <w:spacing w:line="240" w:lineRule="auto"/>
              <w:contextualSpacing w:val="0"/>
            </w:pPr>
            <w:r>
              <w:t>MCSE + TCPIP - 2004 (expired)</w:t>
            </w:r>
          </w:p>
          <w:p w:rsidR="005C7E3D" w:rsidRDefault="00FD1E6C">
            <w:pPr>
              <w:spacing w:line="240" w:lineRule="auto"/>
              <w:contextualSpacing w:val="0"/>
            </w:pPr>
            <w:r>
              <w:t>Microsoft Certified Database Administrator</w:t>
            </w:r>
          </w:p>
          <w:p w:rsidR="005C7E3D" w:rsidRDefault="005C7E3D">
            <w:pPr>
              <w:contextualSpacing w:val="0"/>
            </w:pPr>
          </w:p>
          <w:p w:rsidR="005C7E3D" w:rsidRDefault="00FD1E6C">
            <w:pPr>
              <w:pStyle w:val="Heading1"/>
              <w:contextualSpacing w:val="0"/>
            </w:pPr>
            <w:r>
              <w:t>University of Nevada Las Vegas/Indiana Purdue - Fort Wayne</w:t>
            </w:r>
            <w:r>
              <w:br/>
            </w:r>
            <w:r>
              <w:rPr>
                <w:b w:val="0"/>
                <w:color w:val="666666"/>
                <w:sz w:val="18"/>
                <w:szCs w:val="18"/>
              </w:rPr>
              <w:t>Computer Science and Consumer Marketing — 1998-2012 (continuing</w:t>
            </w:r>
            <w:proofErr w:type="gramStart"/>
            <w:r>
              <w:rPr>
                <w:b w:val="0"/>
                <w:color w:val="666666"/>
                <w:sz w:val="18"/>
                <w:szCs w:val="18"/>
              </w:rPr>
              <w:t>)</w:t>
            </w:r>
            <w:proofErr w:type="gramEnd"/>
            <w:r>
              <w:br/>
            </w:r>
            <w:r>
              <w:rPr>
                <w:b w:val="0"/>
                <w:color w:val="666666"/>
                <w:sz w:val="18"/>
                <w:szCs w:val="18"/>
              </w:rPr>
              <w:t xml:space="preserve">President of the PRSSA and cofounder of the </w:t>
            </w:r>
            <w:proofErr w:type="spellStart"/>
            <w:r>
              <w:rPr>
                <w:b w:val="0"/>
                <w:color w:val="666666"/>
                <w:sz w:val="18"/>
                <w:szCs w:val="18"/>
              </w:rPr>
              <w:t>SalesForce</w:t>
            </w:r>
            <w:proofErr w:type="spellEnd"/>
            <w:r>
              <w:rPr>
                <w:b w:val="0"/>
                <w:color w:val="666666"/>
                <w:sz w:val="18"/>
                <w:szCs w:val="18"/>
              </w:rPr>
              <w:t xml:space="preserve"> User Group.</w:t>
            </w:r>
          </w:p>
          <w:p w:rsidR="005C7E3D" w:rsidRDefault="005C7E3D">
            <w:pPr>
              <w:contextualSpacing w:val="0"/>
            </w:pPr>
          </w:p>
          <w:p w:rsidR="005C7E3D" w:rsidRDefault="00FD1E6C">
            <w:pPr>
              <w:pStyle w:val="Subtitle"/>
              <w:contextualSpacing w:val="0"/>
              <w:rPr>
                <w:color w:val="23527C"/>
              </w:rPr>
            </w:pPr>
            <w:bookmarkStart w:id="7" w:name="_pxr8cdgjwgz1" w:colFirst="0" w:colLast="0"/>
            <w:bookmarkEnd w:id="7"/>
            <w:r>
              <w:rPr>
                <w:color w:val="23527C"/>
              </w:rPr>
              <w:t>SKILLS</w:t>
            </w:r>
          </w:p>
          <w:p w:rsidR="005C7E3D" w:rsidRDefault="00FD1E6C">
            <w:pPr>
              <w:numPr>
                <w:ilvl w:val="0"/>
                <w:numId w:val="1"/>
              </w:numPr>
              <w:ind w:hanging="360"/>
            </w:pPr>
            <w:r>
              <w:t>Comprehensive Salesforce Experience</w:t>
            </w:r>
          </w:p>
          <w:p w:rsidR="005C7E3D" w:rsidRDefault="00FD1E6C">
            <w:pPr>
              <w:numPr>
                <w:ilvl w:val="0"/>
                <w:numId w:val="1"/>
              </w:numPr>
              <w:ind w:hanging="360"/>
            </w:pPr>
            <w:r>
              <w:t xml:space="preserve">Iterative Development </w:t>
            </w:r>
          </w:p>
          <w:p w:rsidR="005C7E3D" w:rsidRDefault="005C7E3D">
            <w:pPr>
              <w:contextualSpacing w:val="0"/>
            </w:pPr>
          </w:p>
          <w:p w:rsidR="005C7E3D" w:rsidRDefault="005C7E3D">
            <w:pPr>
              <w:contextualSpacing w:val="0"/>
            </w:pPr>
          </w:p>
          <w:p w:rsidR="005C7E3D" w:rsidRDefault="00FD1E6C">
            <w:pPr>
              <w:pStyle w:val="Subtitle"/>
              <w:contextualSpacing w:val="0"/>
            </w:pPr>
            <w:bookmarkStart w:id="8" w:name="_li6jglujct88" w:colFirst="0" w:colLast="0"/>
            <w:bookmarkEnd w:id="8"/>
            <w:r>
              <w:rPr>
                <w:color w:val="23527C"/>
              </w:rPr>
              <w:t>REFERENCES</w:t>
            </w:r>
          </w:p>
          <w:p w:rsidR="005C7E3D" w:rsidRDefault="00FD1E6C">
            <w:pPr>
              <w:spacing w:line="240" w:lineRule="auto"/>
              <w:contextualSpacing w:val="0"/>
              <w:rPr>
                <w:b/>
                <w:color w:val="A61C00"/>
                <w:sz w:val="22"/>
                <w:szCs w:val="22"/>
              </w:rPr>
            </w:pPr>
            <w:r>
              <w:t>Available upon request.</w:t>
            </w:r>
          </w:p>
        </w:tc>
      </w:tr>
    </w:tbl>
    <w:p w:rsidR="005C7E3D" w:rsidRDefault="005C7E3D">
      <w:pPr>
        <w:contextualSpacing w:val="0"/>
      </w:pPr>
    </w:p>
    <w:p w:rsidR="005C7E3D" w:rsidRDefault="00FD1E6C">
      <w:pPr>
        <w:contextualSpacing w:val="0"/>
      </w:pPr>
      <w:r>
        <w:rPr>
          <w:noProof/>
        </w:rPr>
        <w:lastRenderedPageBreak/>
        <w:drawing>
          <wp:inline distT="114300" distB="114300" distL="114300" distR="114300">
            <wp:extent cx="5948363" cy="5025816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21614" t="10416" r="22135" b="5092"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5025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7E3D" w:rsidRDefault="00FD1E6C">
      <w:pPr>
        <w:contextualSpacing w:val="0"/>
      </w:pPr>
      <w:r>
        <w:rPr>
          <w:noProof/>
        </w:rPr>
        <w:drawing>
          <wp:inline distT="114300" distB="114300" distL="114300" distR="114300">
            <wp:extent cx="6219825" cy="26289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18359" t="49485" r="21875" b="555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7E3D">
      <w:pgSz w:w="12240" w:h="15840"/>
      <w:pgMar w:top="720" w:right="720" w:bottom="72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8F"/>
    <w:multiLevelType w:val="multilevel"/>
    <w:tmpl w:val="1388A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1">
    <w:nsid w:val="59B126BF"/>
    <w:multiLevelType w:val="multilevel"/>
    <w:tmpl w:val="4EF6A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2">
    <w:nsid w:val="5C464226"/>
    <w:multiLevelType w:val="multilevel"/>
    <w:tmpl w:val="E850F1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D"/>
    <w:rsid w:val="00311228"/>
    <w:rsid w:val="005C7E3D"/>
    <w:rsid w:val="00865A16"/>
    <w:rsid w:val="00B443BF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8EBCE-A3C7-4616-86DF-A014E2A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rPr>
      <w:b/>
      <w:color w:val="A61C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sforce.com/company/news-press/press-releases/2015/09/150916-2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vestor.salesforce.com/about-us/investor/investor-news/investor-news-details/2017/Mount-Sinai-Health-System-Taps-Salesforce-to-Transform-Healthcare-for-More-Than-350000-Medicaid-Recipients-in-New-York-City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mailto:Brian@Brian17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ortheastern.edu/its/services/salesf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Thornton</dc:creator>
  <cp:lastModifiedBy>Brian Thornton</cp:lastModifiedBy>
  <cp:revision>4</cp:revision>
  <dcterms:created xsi:type="dcterms:W3CDTF">2017-07-19T02:57:00Z</dcterms:created>
  <dcterms:modified xsi:type="dcterms:W3CDTF">2017-07-19T02:59:00Z</dcterms:modified>
</cp:coreProperties>
</file>